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22" w:rsidRDefault="00E27C22">
      <w:pPr>
        <w:jc w:val="right"/>
        <w:rPr>
          <w:rFonts w:ascii="Arial" w:eastAsia="Helvetica Neue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Helvetica Neue" w:hAnsi="Arial" w:cs="Arial"/>
          <w:color w:val="000000"/>
          <w:sz w:val="24"/>
          <w:szCs w:val="24"/>
          <w:vertAlign w:val="superscript"/>
        </w:rPr>
        <w:t xml:space="preserve">…………………………………………………………..                                                                                                      </w:t>
      </w:r>
    </w:p>
    <w:p w:rsidR="00E27C22" w:rsidRDefault="00E27C22">
      <w:pPr>
        <w:jc w:val="center"/>
        <w:rPr>
          <w:rFonts w:eastAsia="Helvetica Neue" w:cs="Calibri"/>
          <w:color w:val="000000"/>
          <w:sz w:val="16"/>
          <w:szCs w:val="16"/>
        </w:rPr>
      </w:pPr>
      <w:r>
        <w:rPr>
          <w:rFonts w:ascii="Arial" w:eastAsia="Helvetica Neue" w:hAnsi="Arial" w:cs="Arial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(Miejscowość, data)</w:t>
      </w:r>
    </w:p>
    <w:p w:rsidR="00E27C22" w:rsidRDefault="00E27C22">
      <w:pPr>
        <w:rPr>
          <w:rFonts w:ascii="Arial" w:eastAsia="Helvetica Neue" w:hAnsi="Arial" w:cs="Arial"/>
          <w:color w:val="000000"/>
          <w:sz w:val="24"/>
          <w:szCs w:val="24"/>
          <w:vertAlign w:val="superscript"/>
        </w:rPr>
      </w:pPr>
      <w:r>
        <w:rPr>
          <w:rFonts w:eastAsia="Helvetica Neue" w:cs="Calibri"/>
          <w:color w:val="000000"/>
          <w:sz w:val="16"/>
          <w:szCs w:val="16"/>
        </w:rPr>
        <w:t>………………………………………………………………………………….……………………………</w:t>
      </w:r>
    </w:p>
    <w:p w:rsidR="00E27C22" w:rsidRDefault="00E27C22">
      <w:pPr>
        <w:rPr>
          <w:rFonts w:ascii="Arial" w:eastAsia="Helvetica Neue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Helvetica Neue" w:hAnsi="Arial" w:cs="Arial"/>
          <w:color w:val="000000"/>
          <w:sz w:val="24"/>
          <w:szCs w:val="24"/>
          <w:vertAlign w:val="superscript"/>
        </w:rPr>
        <w:t>(Imię i nazwisko rodzica lub opiekuna)</w:t>
      </w:r>
    </w:p>
    <w:p w:rsidR="00E27C22" w:rsidRDefault="00E27C22">
      <w:pPr>
        <w:rPr>
          <w:rFonts w:ascii="Arial" w:eastAsia="Helvetica Neue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Helvetica Neue" w:hAnsi="Arial" w:cs="Arial"/>
          <w:color w:val="000000"/>
          <w:sz w:val="24"/>
          <w:szCs w:val="24"/>
          <w:vertAlign w:val="superscript"/>
        </w:rPr>
        <w:t>……………………………………………………………………………..</w:t>
      </w:r>
    </w:p>
    <w:p w:rsidR="00E27C22" w:rsidRDefault="00E27C22">
      <w:pPr>
        <w:rPr>
          <w:rStyle w:val="Pogrubienie"/>
          <w:rFonts w:cs="Calibri"/>
          <w:sz w:val="24"/>
          <w:szCs w:val="24"/>
        </w:rPr>
      </w:pPr>
      <w:r>
        <w:rPr>
          <w:rFonts w:ascii="Arial" w:eastAsia="Helvetica Neue" w:hAnsi="Arial" w:cs="Arial"/>
          <w:color w:val="000000"/>
          <w:sz w:val="24"/>
          <w:szCs w:val="24"/>
          <w:vertAlign w:val="superscript"/>
        </w:rPr>
        <w:t>(adres zamieszkania)</w:t>
      </w:r>
    </w:p>
    <w:p w:rsidR="00E27C22" w:rsidRDefault="00E27C22">
      <w:pPr>
        <w:spacing w:after="0" w:line="21" w:lineRule="atLeast"/>
        <w:ind w:left="5245"/>
        <w:jc w:val="both"/>
        <w:rPr>
          <w:rStyle w:val="Pogrubienie"/>
          <w:rFonts w:cs="Calibri"/>
          <w:sz w:val="24"/>
          <w:szCs w:val="24"/>
        </w:rPr>
      </w:pPr>
      <w:r>
        <w:rPr>
          <w:rStyle w:val="Pogrubienie"/>
          <w:rFonts w:cs="Calibri"/>
          <w:sz w:val="24"/>
          <w:szCs w:val="24"/>
        </w:rPr>
        <w:t xml:space="preserve">NZOZ „Puls-Med” </w:t>
      </w:r>
    </w:p>
    <w:p w:rsidR="00E27C22" w:rsidRDefault="00E27C22">
      <w:pPr>
        <w:spacing w:after="0" w:line="21" w:lineRule="atLeast"/>
        <w:ind w:left="5245"/>
        <w:jc w:val="both"/>
        <w:rPr>
          <w:rStyle w:val="Pogrubienie"/>
          <w:rFonts w:cs="Calibri"/>
          <w:b w:val="0"/>
          <w:sz w:val="24"/>
          <w:szCs w:val="24"/>
        </w:rPr>
      </w:pPr>
      <w:r>
        <w:rPr>
          <w:rStyle w:val="Pogrubienie"/>
          <w:rFonts w:cs="Calibri"/>
          <w:sz w:val="24"/>
          <w:szCs w:val="24"/>
        </w:rPr>
        <w:t>Sylwia Figura-Kluszczyńska</w:t>
      </w:r>
    </w:p>
    <w:p w:rsidR="00E27C22" w:rsidRDefault="00E27C22">
      <w:pPr>
        <w:spacing w:after="0" w:line="21" w:lineRule="atLeast"/>
        <w:ind w:left="5245"/>
        <w:jc w:val="both"/>
        <w:rPr>
          <w:rStyle w:val="Pogrubienie"/>
          <w:rFonts w:cs="Calibri"/>
          <w:b w:val="0"/>
          <w:sz w:val="24"/>
          <w:szCs w:val="24"/>
        </w:rPr>
      </w:pPr>
      <w:r>
        <w:rPr>
          <w:rStyle w:val="Pogrubienie"/>
          <w:rFonts w:cs="Calibri"/>
          <w:b w:val="0"/>
          <w:sz w:val="24"/>
          <w:szCs w:val="24"/>
        </w:rPr>
        <w:t>ul. Grunwaldzka 66</w:t>
      </w:r>
    </w:p>
    <w:p w:rsidR="00E27C22" w:rsidRDefault="00E27C22">
      <w:pPr>
        <w:spacing w:after="0" w:line="21" w:lineRule="atLeast"/>
        <w:ind w:left="5245"/>
        <w:jc w:val="both"/>
        <w:rPr>
          <w:rFonts w:eastAsia="Helvetica Neue" w:cs="Calibri"/>
          <w:color w:val="000000"/>
          <w:sz w:val="24"/>
          <w:szCs w:val="24"/>
        </w:rPr>
      </w:pPr>
      <w:r>
        <w:rPr>
          <w:rStyle w:val="Pogrubienie"/>
          <w:rFonts w:cs="Calibri"/>
          <w:b w:val="0"/>
          <w:sz w:val="24"/>
          <w:szCs w:val="24"/>
        </w:rPr>
        <w:t>44-210 Rybnik</w:t>
      </w:r>
    </w:p>
    <w:p w:rsidR="00E27C22" w:rsidRDefault="00E27C22">
      <w:pPr>
        <w:spacing w:after="0" w:line="360" w:lineRule="auto"/>
        <w:rPr>
          <w:rFonts w:eastAsia="Helvetica Neue" w:cs="Calibri"/>
          <w:color w:val="000000"/>
          <w:sz w:val="24"/>
          <w:szCs w:val="24"/>
        </w:rPr>
      </w:pPr>
    </w:p>
    <w:p w:rsidR="00E27C22" w:rsidRDefault="00E27C22">
      <w:pPr>
        <w:spacing w:after="0" w:line="360" w:lineRule="auto"/>
        <w:jc w:val="center"/>
        <w:rPr>
          <w:rFonts w:eastAsia="Helvetica Neue" w:cs="Calibri"/>
          <w:color w:val="000000"/>
          <w:sz w:val="24"/>
          <w:szCs w:val="24"/>
        </w:rPr>
      </w:pPr>
      <w:r>
        <w:rPr>
          <w:rFonts w:eastAsia="Helvetica Neue" w:cs="Calibri"/>
          <w:b/>
          <w:color w:val="000000"/>
          <w:sz w:val="24"/>
          <w:szCs w:val="24"/>
        </w:rPr>
        <w:t>Sprzeciw wobec objęcia ucznia opieką profilaktyczną</w:t>
      </w:r>
    </w:p>
    <w:p w:rsidR="00E27C22" w:rsidRDefault="00E27C22">
      <w:pPr>
        <w:spacing w:after="0" w:line="360" w:lineRule="auto"/>
        <w:jc w:val="both"/>
        <w:rPr>
          <w:rFonts w:eastAsia="Helvetica Neue" w:cs="Calibri"/>
          <w:color w:val="000000"/>
          <w:sz w:val="24"/>
          <w:szCs w:val="24"/>
        </w:rPr>
      </w:pPr>
    </w:p>
    <w:p w:rsidR="00E27C22" w:rsidRDefault="00E27C22">
      <w:pPr>
        <w:spacing w:after="0" w:line="360" w:lineRule="auto"/>
        <w:jc w:val="both"/>
        <w:rPr>
          <w:rFonts w:eastAsia="Helvetica Neue" w:cs="Calibri"/>
          <w:color w:val="000000"/>
          <w:sz w:val="24"/>
          <w:szCs w:val="24"/>
        </w:rPr>
      </w:pPr>
      <w:r>
        <w:rPr>
          <w:rFonts w:eastAsia="Helvetica Neue" w:cs="Calibri"/>
          <w:color w:val="000000"/>
          <w:sz w:val="24"/>
          <w:szCs w:val="24"/>
        </w:rPr>
        <w:t xml:space="preserve">Niniejszym  na podstawie art. 7 ust. 2 ustawy o opiece zdrowotnej nad uczniami  </w:t>
      </w:r>
      <w:r>
        <w:rPr>
          <w:rFonts w:cs="Calibri"/>
          <w:sz w:val="24"/>
          <w:szCs w:val="24"/>
        </w:rPr>
        <w:t xml:space="preserve">(Dz.U.2019 poz. 1078). </w:t>
      </w:r>
      <w:r>
        <w:rPr>
          <w:rFonts w:eastAsia="Helvetica Neue" w:cs="Calibri"/>
          <w:b/>
          <w:color w:val="000000"/>
          <w:sz w:val="24"/>
          <w:szCs w:val="24"/>
        </w:rPr>
        <w:t>wyrażam sprzeciw</w:t>
      </w:r>
      <w:r>
        <w:rPr>
          <w:rFonts w:eastAsia="Helvetica Neue" w:cs="Calibri"/>
          <w:color w:val="000000"/>
          <w:sz w:val="24"/>
          <w:szCs w:val="24"/>
        </w:rPr>
        <w:t xml:space="preserve"> odnośnie  realizacji profilaktycznej opieki zdrowotnej sprawowanej przez pielęgniarkę środowiska nauczania i wychowania, higienistkę szkolną -  </w:t>
      </w:r>
    </w:p>
    <w:p w:rsidR="00E27C22" w:rsidRDefault="00E27C22">
      <w:pPr>
        <w:numPr>
          <w:ilvl w:val="0"/>
          <w:numId w:val="2"/>
        </w:numPr>
        <w:spacing w:after="0" w:line="360" w:lineRule="auto"/>
        <w:jc w:val="both"/>
        <w:rPr>
          <w:rFonts w:eastAsia="Helvetica Neue" w:cs="Calibri"/>
          <w:color w:val="000000"/>
          <w:sz w:val="24"/>
          <w:szCs w:val="24"/>
        </w:rPr>
      </w:pPr>
      <w:r>
        <w:rPr>
          <w:rFonts w:eastAsia="Helvetica Neue" w:cs="Calibri"/>
          <w:color w:val="000000"/>
          <w:sz w:val="24"/>
          <w:szCs w:val="24"/>
        </w:rPr>
        <w:t xml:space="preserve">w pełnym zakresie  </w:t>
      </w:r>
      <w:r>
        <w:rPr>
          <w:rFonts w:ascii="Segoe UI Symbol" w:hAnsi="Segoe UI Symbol" w:cs="Segoe UI Symbol"/>
          <w:sz w:val="24"/>
          <w:szCs w:val="24"/>
        </w:rPr>
        <w:t>♦</w:t>
      </w:r>
    </w:p>
    <w:p w:rsidR="00E27C22" w:rsidRDefault="00E27C22">
      <w:pPr>
        <w:numPr>
          <w:ilvl w:val="0"/>
          <w:numId w:val="2"/>
        </w:numPr>
        <w:spacing w:after="0" w:line="360" w:lineRule="auto"/>
        <w:jc w:val="both"/>
        <w:rPr>
          <w:rFonts w:eastAsia="Helvetica Neue" w:cs="Calibri"/>
          <w:color w:val="000000"/>
          <w:sz w:val="24"/>
          <w:szCs w:val="24"/>
        </w:rPr>
      </w:pPr>
      <w:r>
        <w:rPr>
          <w:rFonts w:eastAsia="Helvetica Neue" w:cs="Calibri"/>
          <w:color w:val="000000"/>
          <w:sz w:val="24"/>
          <w:szCs w:val="24"/>
        </w:rPr>
        <w:t>w zakresie świadczeń polegających na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Helvetica Neue" w:cs="Calibri"/>
          <w:color w:val="000000"/>
          <w:sz w:val="24"/>
          <w:szCs w:val="24"/>
        </w:rPr>
        <w:t>………………………………..……………………………… ……………………………………………………………………………………………………………………….…….. ……………………………………………………………………………………………………………………………..</w:t>
      </w:r>
      <w:r>
        <w:rPr>
          <w:rFonts w:ascii="Segoe UI Symbol" w:eastAsia="Helvetica Neue" w:hAnsi="Segoe UI Symbol" w:cs="Segoe UI Symbol"/>
          <w:color w:val="000000"/>
          <w:sz w:val="24"/>
          <w:szCs w:val="24"/>
        </w:rPr>
        <w:t>♦</w:t>
      </w:r>
    </w:p>
    <w:p w:rsidR="00E27C22" w:rsidRDefault="00E27C22">
      <w:pPr>
        <w:spacing w:after="0" w:line="360" w:lineRule="auto"/>
        <w:jc w:val="both"/>
        <w:rPr>
          <w:rFonts w:eastAsia="Helvetica Neue" w:cs="Calibri"/>
          <w:color w:val="000000"/>
          <w:sz w:val="24"/>
          <w:szCs w:val="24"/>
        </w:rPr>
      </w:pPr>
    </w:p>
    <w:p w:rsidR="00E27C22" w:rsidRDefault="00E27C22">
      <w:pPr>
        <w:spacing w:after="0" w:line="360" w:lineRule="auto"/>
        <w:jc w:val="both"/>
        <w:rPr>
          <w:rFonts w:eastAsia="Helvetica Neue" w:cs="Calibri"/>
          <w:color w:val="000000"/>
          <w:sz w:val="24"/>
          <w:szCs w:val="24"/>
        </w:rPr>
      </w:pPr>
      <w:r>
        <w:rPr>
          <w:rFonts w:eastAsia="Helvetica Neue" w:cs="Calibri"/>
          <w:color w:val="000000"/>
          <w:sz w:val="24"/>
          <w:szCs w:val="24"/>
        </w:rPr>
        <w:t>w stosunku do  pozostającej/ego pod  moją opieką</w:t>
      </w:r>
    </w:p>
    <w:p w:rsidR="00E27C22" w:rsidRDefault="00E27C22">
      <w:pPr>
        <w:spacing w:after="0" w:line="360" w:lineRule="auto"/>
        <w:jc w:val="both"/>
        <w:rPr>
          <w:rFonts w:eastAsia="Helvetica Neue" w:cs="Calibri"/>
          <w:color w:val="000000"/>
          <w:sz w:val="24"/>
          <w:szCs w:val="24"/>
        </w:rPr>
      </w:pPr>
    </w:p>
    <w:p w:rsidR="00E27C22" w:rsidRDefault="00E27C22">
      <w:pPr>
        <w:spacing w:after="0" w:line="360" w:lineRule="auto"/>
        <w:jc w:val="both"/>
        <w:rPr>
          <w:rFonts w:ascii="Arial" w:eastAsia="Helvetica Neue" w:hAnsi="Arial" w:cs="Arial"/>
          <w:color w:val="000000"/>
          <w:sz w:val="24"/>
          <w:szCs w:val="24"/>
          <w:vertAlign w:val="superscript"/>
        </w:rPr>
      </w:pPr>
      <w:r>
        <w:rPr>
          <w:rFonts w:eastAsia="Helvetica Neue" w:cs="Calibri"/>
          <w:color w:val="000000"/>
          <w:sz w:val="24"/>
          <w:szCs w:val="24"/>
        </w:rPr>
        <w:t xml:space="preserve"> ….………………………… …………………………………………………………….……… </w:t>
      </w:r>
    </w:p>
    <w:p w:rsidR="00E27C22" w:rsidRDefault="00E27C22">
      <w:pPr>
        <w:jc w:val="center"/>
        <w:rPr>
          <w:rFonts w:ascii="Arial" w:eastAsia="Helvetica Neue" w:hAnsi="Arial" w:cs="Arial"/>
          <w:color w:val="000000"/>
          <w:sz w:val="24"/>
          <w:szCs w:val="24"/>
        </w:rPr>
      </w:pPr>
      <w:r>
        <w:rPr>
          <w:rFonts w:ascii="Arial" w:eastAsia="Helvetica Neue" w:hAnsi="Arial" w:cs="Arial"/>
          <w:color w:val="000000"/>
          <w:sz w:val="24"/>
          <w:szCs w:val="24"/>
          <w:vertAlign w:val="superscript"/>
        </w:rPr>
        <w:t>(imię i nazwisko małoletniego ucznia i nr PESEL)</w:t>
      </w:r>
    </w:p>
    <w:p w:rsidR="00E27C22" w:rsidRDefault="00E27C22">
      <w:pPr>
        <w:jc w:val="right"/>
        <w:rPr>
          <w:rFonts w:ascii="Arial" w:eastAsia="Helvetica Neue" w:hAnsi="Arial" w:cs="Arial"/>
          <w:color w:val="000000"/>
          <w:sz w:val="24"/>
          <w:szCs w:val="24"/>
        </w:rPr>
      </w:pPr>
    </w:p>
    <w:p w:rsidR="00E27C22" w:rsidRDefault="00E27C22">
      <w:pPr>
        <w:jc w:val="right"/>
        <w:rPr>
          <w:rFonts w:ascii="Arial" w:eastAsia="Helvetica Neue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Helvetica Neue" w:hAnsi="Arial" w:cs="Arial"/>
          <w:color w:val="000000"/>
          <w:sz w:val="24"/>
          <w:szCs w:val="24"/>
        </w:rPr>
        <w:t>…………………….…………………………………………..</w:t>
      </w:r>
    </w:p>
    <w:p w:rsidR="00E27C22" w:rsidRDefault="00E27C22">
      <w:pPr>
        <w:jc w:val="center"/>
        <w:rPr>
          <w:rFonts w:ascii="Segoe UI Symbol" w:hAnsi="Segoe UI Symbol" w:cs="Segoe UI Symbol"/>
          <w:sz w:val="24"/>
          <w:szCs w:val="24"/>
        </w:rPr>
      </w:pPr>
      <w:r>
        <w:rPr>
          <w:rFonts w:ascii="Arial" w:eastAsia="Helvetica Neue" w:hAnsi="Arial" w:cs="Arial"/>
          <w:color w:val="000000"/>
          <w:sz w:val="24"/>
          <w:szCs w:val="24"/>
          <w:vertAlign w:val="superscript"/>
        </w:rPr>
        <w:t xml:space="preserve">                                                        (imię i nazwisko rodzica lub opiekuna prawnego )</w:t>
      </w:r>
    </w:p>
    <w:p w:rsidR="00E27C22" w:rsidRDefault="00E27C22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E27C22" w:rsidRDefault="00E27C22">
      <w:pPr>
        <w:jc w:val="both"/>
        <w:rPr>
          <w:rFonts w:eastAsia="Times New Roman" w:cs="Calibri"/>
          <w:b/>
          <w:bCs/>
        </w:rPr>
      </w:pPr>
      <w:r>
        <w:rPr>
          <w:rFonts w:ascii="Segoe UI Symbol" w:hAnsi="Segoe UI Symbol" w:cs="Segoe UI Symbol"/>
          <w:sz w:val="24"/>
          <w:szCs w:val="24"/>
        </w:rPr>
        <w:t>♦</w:t>
      </w:r>
      <w:r>
        <w:rPr>
          <w:rFonts w:cs="Calibri"/>
          <w:sz w:val="24"/>
          <w:szCs w:val="24"/>
        </w:rPr>
        <w:t xml:space="preserve"> proszę zakreślić pkt 1 lub 2 .  W przypadku zakreślenia pkt 2 należy wskazać zakres świadczeń objętych sprzeciwem</w:t>
      </w:r>
    </w:p>
    <w:p w:rsidR="00E27C22" w:rsidRDefault="00E27C22">
      <w:pPr>
        <w:spacing w:before="280" w:after="280" w:line="240" w:lineRule="auto"/>
        <w:jc w:val="center"/>
        <w:rPr>
          <w:rFonts w:cs="Calibri"/>
        </w:rPr>
      </w:pPr>
      <w:r>
        <w:rPr>
          <w:rFonts w:eastAsia="Times New Roman" w:cs="Calibri"/>
          <w:b/>
          <w:bCs/>
        </w:rPr>
        <w:lastRenderedPageBreak/>
        <w:t xml:space="preserve">Rozporządzenie Ministra Zdrowia w sprawie świadczeń gwarantowanych z zakresu podstawowej opieki zdrowotnej </w:t>
      </w:r>
      <w:r>
        <w:rPr>
          <w:rFonts w:eastAsia="Times New Roman" w:cs="Calibri"/>
        </w:rPr>
        <w:t xml:space="preserve">z dnia 24 września 2013 r. </w:t>
      </w:r>
      <w:r>
        <w:rPr>
          <w:rFonts w:cs="Calibri"/>
        </w:rPr>
        <w:t xml:space="preserve">tj. z dnia 21 marca 2019 r. </w:t>
      </w:r>
      <w:hyperlink r:id="rId5" w:history="1">
        <w:r>
          <w:rPr>
            <w:rStyle w:val="Hipercze"/>
            <w:rFonts w:cs="Calibri"/>
          </w:rPr>
          <w:t>(Dz.U. z 2019 r. poz. 736)</w:t>
        </w:r>
      </w:hyperlink>
    </w:p>
    <w:p w:rsidR="00E27C22" w:rsidRDefault="00E27C22">
      <w:pPr>
        <w:spacing w:before="280" w:after="280" w:line="240" w:lineRule="auto"/>
        <w:jc w:val="center"/>
        <w:rPr>
          <w:rFonts w:eastAsia="Times New Roman" w:cs="Calibri"/>
          <w:b/>
          <w:bCs/>
        </w:rPr>
      </w:pPr>
      <w:r>
        <w:rPr>
          <w:rFonts w:cs="Calibri"/>
        </w:rPr>
        <w:t>- wyciąg</w:t>
      </w:r>
    </w:p>
    <w:p w:rsidR="00E27C22" w:rsidRDefault="00E27C22">
      <w:pPr>
        <w:spacing w:before="280" w:after="280" w:line="240" w:lineRule="auto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Załącznik 4. Wykaz świadczeń gwarantowanych pielęgniarki lub higienistki szkolnej udzielanych w środowisku nauczania i wychowania oraz warunki ich realizacji. </w:t>
      </w:r>
    </w:p>
    <w:p w:rsidR="00E27C22" w:rsidRDefault="00E27C22">
      <w:pPr>
        <w:spacing w:before="280" w:after="280" w:line="240" w:lineRule="auto"/>
        <w:rPr>
          <w:rFonts w:eastAsia="Times New Roman" w:cs="Calibri"/>
        </w:rPr>
      </w:pPr>
      <w:r>
        <w:rPr>
          <w:rFonts w:eastAsia="Times New Roman" w:cs="Calibri"/>
        </w:rPr>
        <w:t>Część I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1. Pielęgniarka lub higienistka szkolna planuje i realizuje profilaktyczną opiekę zdrowotną nad świadczeniobiorcami na terenie szkoły lub w placówce, o której mowa w </w:t>
      </w:r>
      <w:r>
        <w:rPr>
          <w:rFonts w:eastAsia="Times New Roman" w:cs="Calibri"/>
          <w:i/>
          <w:iCs/>
        </w:rPr>
        <w:t>art. 2 pkt 5</w:t>
      </w:r>
      <w:r>
        <w:rPr>
          <w:rFonts w:eastAsia="Times New Roman" w:cs="Calibri"/>
        </w:rPr>
        <w:t xml:space="preserve"> ustawy z dnia 7 września 1991 r. o systemie oświaty (Dz.U. z 2018 r. poz. 1457, z późn. zm.).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2. Świadczenia pielęgniarki lub higienistki szkolnej obejmują: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1) wykonywanie i interpretowanie testów przesiewowych, zgodnie z warunkami określonymi w części II;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2) kierowanie postępowaniem poprzesiewowym oraz sprawowanie opieki nad uczniami z dodatnimi wynikami testów;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3) czynne poradnictwo dla uczniów z problemami zdrowotnymi;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4) sprawowanie opieki nad uczniami z chorobami przewlekłymi i niepełnosprawnością, w tym realizacja świadczeń pielęgniarskich oraz wyłącznie na podstawie zlecenia lekarskiego i w porozumieniu z lekarzem podstawowej opieki zdrowotnej, na którego liście świadczeniobiorców znajduje się uczeń, zabiegów i procedur leczniczych koniecznych do wykonania u ucznia w trakcie pobytu w szkole;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5) udzielanie pomocy przedlekarskiej w przypadku nagłych zachorowań, urazów i zatruć;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6) doradztwo dla dyrektora szkoły w sprawie warunków bezpieczeństwa uczniów, organizacji posiłków i warunków sanitarnych w szkole;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7) edukacja w zakresie zdrowia jamy ustnej;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8) prowadzenie u uczniów szkół podstawowych (klasy I-VI) znajdujących się na obszarach, gdzie poziom fluorków w wodzie pitnej nie przekracza wartości 1 mg/l, grupowej profilaktyki fluorkowej metodą nadzorowanego szczotkowania zębów preparatami fluorkowymi 6 razy w roku, w odstępach co 6 tygodni;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9) udział w planowaniu, realizacji i ocenie edukacji zdrowotnej.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 Pielęgniarka lub higienistka szkolna udziela świadczeń o których mowa w ust. 1, zgodnie z przepisami wydanymi na podstawie art. 27 ust. 3 ustawy z dnia 27 sierpnia 2004 r. o świadczeniach opieki zdrowotnej finansowanych ze środków publicznych (Dz.U. z 2018 r. poz. 1510, z późn. zm.). </w:t>
      </w:r>
    </w:p>
    <w:p w:rsidR="00E27C22" w:rsidRDefault="00E27C2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4. Pielęgniarka lub higienistka szkolna zapewnia dostępność do świadczeń w wymiarze czasu pracy proporcjonalnym do liczby uczniów objętych opieką oraz planu godzin lekcyjnych, zgodnie z warunkami określonymi w części III. </w:t>
      </w:r>
    </w:p>
    <w:p w:rsidR="00E27C22" w:rsidRDefault="00E27C22">
      <w:pPr>
        <w:spacing w:before="280" w:after="280" w:line="240" w:lineRule="auto"/>
        <w:rPr>
          <w:rFonts w:eastAsia="Times New Roman" w:cs="Calibri"/>
          <w:b/>
          <w:bCs/>
        </w:rPr>
      </w:pPr>
      <w:r>
        <w:rPr>
          <w:rFonts w:eastAsia="Times New Roman" w:cs="Calibri"/>
        </w:rPr>
        <w:t>Część II. Warunki realizacji testów przesiewowych</w:t>
      </w:r>
    </w:p>
    <w:tbl>
      <w:tblPr>
        <w:tblW w:w="0" w:type="auto"/>
        <w:tblInd w:w="-45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95"/>
        <w:gridCol w:w="3627"/>
        <w:gridCol w:w="5236"/>
      </w:tblGrid>
      <w:tr w:rsidR="00E27C22">
        <w:tc>
          <w:tcPr>
            <w:tcW w:w="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LP.</w:t>
            </w:r>
          </w:p>
        </w:tc>
        <w:tc>
          <w:tcPr>
            <w:tcW w:w="36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WIEK ALBO ETAP EDUKACJI</w:t>
            </w:r>
          </w:p>
        </w:tc>
        <w:tc>
          <w:tcPr>
            <w:tcW w:w="52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27C22" w:rsidRDefault="00E27C22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</w:rPr>
              <w:t>TESTY PRZESIEWOWE</w:t>
            </w:r>
          </w:p>
        </w:tc>
      </w:tr>
      <w:tr w:rsidR="00E27C22">
        <w:tc>
          <w:tcPr>
            <w:tcW w:w="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36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Roczne obowiązkowe przygotowanie przedszkolne*</w:t>
            </w:r>
            <w:r>
              <w:rPr>
                <w:rFonts w:eastAsia="Times New Roman" w:cs="Calibri"/>
                <w:vertAlign w:val="superscript"/>
              </w:rPr>
              <w:t>(</w:t>
            </w:r>
            <w:r>
              <w:rPr>
                <w:rFonts w:eastAsia="Times New Roman" w:cs="Calibri"/>
              </w:rPr>
              <w:t>**</w:t>
            </w:r>
            <w:r>
              <w:rPr>
                <w:rFonts w:eastAsia="Times New Roman" w:cs="Calibri"/>
                <w:vertAlign w:val="superscript"/>
              </w:rPr>
              <w:t>)</w:t>
            </w:r>
          </w:p>
        </w:tc>
        <w:tc>
          <w:tcPr>
            <w:tcW w:w="52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1. Test do wykrywania zaburzeń: </w:t>
            </w:r>
          </w:p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1) rozwoju fizycznego - pomiary: wysokości i masy ciała, w tym określenie współczynnika masy ciała (Body Mass Index - BMI);</w:t>
            </w:r>
          </w:p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2) układu ruchu, w tym bocznego skrzywienia kręgosłupa, zniekształceń statycznych kończyn dolnych;</w:t>
            </w:r>
          </w:p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3) w kierunku zeza (Cover test, test Hirschberga);</w:t>
            </w:r>
          </w:p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4) ostrości wzroku;</w:t>
            </w:r>
          </w:p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5) słuchu (badanie orientacyjne szeptem);</w:t>
            </w:r>
          </w:p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6) ciśnienia tętniczego krwi.</w:t>
            </w:r>
          </w:p>
          <w:p w:rsidR="00E27C22" w:rsidRDefault="00E27C22">
            <w:pPr>
              <w:spacing w:after="0" w:line="240" w:lineRule="auto"/>
            </w:pPr>
            <w:r>
              <w:rPr>
                <w:rFonts w:eastAsia="Times New Roman" w:cs="Calibri"/>
              </w:rPr>
              <w:t>2. Orientacyjne wykrywanie zaburzeń statyki ciała.</w:t>
            </w:r>
            <w:r>
              <w:rPr>
                <w:rFonts w:eastAsia="Times New Roman" w:cs="Calibri"/>
              </w:rPr>
              <w:br/>
              <w:t>3. Orientacyjne wykrywanie wad wymowy.</w:t>
            </w:r>
          </w:p>
        </w:tc>
      </w:tr>
      <w:tr w:rsidR="00E27C22">
        <w:tc>
          <w:tcPr>
            <w:tcW w:w="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2</w:t>
            </w:r>
          </w:p>
        </w:tc>
        <w:tc>
          <w:tcPr>
            <w:tcW w:w="36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Klasa III szkoły podstawowej**</w:t>
            </w:r>
          </w:p>
        </w:tc>
        <w:tc>
          <w:tcPr>
            <w:tcW w:w="52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27C22" w:rsidRDefault="00E27C22">
            <w:pPr>
              <w:spacing w:after="0" w:line="240" w:lineRule="auto"/>
            </w:pPr>
            <w:r>
              <w:rPr>
                <w:rFonts w:eastAsia="Times New Roman" w:cs="Calibri"/>
              </w:rPr>
              <w:t>Test do wykrywania zaburzeń:</w:t>
            </w:r>
            <w:r>
              <w:rPr>
                <w:rFonts w:eastAsia="Times New Roman" w:cs="Calibri"/>
              </w:rPr>
              <w:br/>
              <w:t>1) rozwoju fizycznego - pomiary: wysokości i masy ciała, w tym określenie współczynnika masy ciała (Body Mass Index - BMI);</w:t>
            </w:r>
            <w:r>
              <w:rPr>
                <w:rFonts w:eastAsia="Times New Roman" w:cs="Calibri"/>
              </w:rPr>
              <w:br/>
              <w:t>2) układu ruchu, w tym bocznego skrzywienia kręgosłupa;</w:t>
            </w:r>
            <w:r>
              <w:rPr>
                <w:rFonts w:eastAsia="Times New Roman" w:cs="Calibri"/>
              </w:rPr>
              <w:br/>
              <w:t>3) ostrości wzroku;</w:t>
            </w:r>
            <w:r>
              <w:rPr>
                <w:rFonts w:eastAsia="Times New Roman" w:cs="Calibri"/>
              </w:rPr>
              <w:br/>
              <w:t>4) widzenia barw;</w:t>
            </w:r>
            <w:r>
              <w:rPr>
                <w:rFonts w:eastAsia="Times New Roman" w:cs="Calibri"/>
              </w:rPr>
              <w:br/>
              <w:t>5) ciśnienia tętniczego krwi.</w:t>
            </w:r>
          </w:p>
        </w:tc>
      </w:tr>
      <w:tr w:rsidR="00E27C22">
        <w:tc>
          <w:tcPr>
            <w:tcW w:w="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36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Klasa V szkoły podstawowej**</w:t>
            </w:r>
          </w:p>
        </w:tc>
        <w:tc>
          <w:tcPr>
            <w:tcW w:w="52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27C22" w:rsidRDefault="00E27C22">
            <w:pPr>
              <w:spacing w:after="0" w:line="240" w:lineRule="auto"/>
            </w:pPr>
            <w:r>
              <w:rPr>
                <w:rFonts w:eastAsia="Times New Roman" w:cs="Calibri"/>
              </w:rPr>
              <w:t>Test do wykrywania zaburzeń:</w:t>
            </w:r>
            <w:r>
              <w:rPr>
                <w:rFonts w:eastAsia="Times New Roman" w:cs="Calibri"/>
              </w:rPr>
              <w:br/>
              <w:t>1) rozwoju fizycznego - pomiary: wysokości i masy ciała, w tym określenie współczynnika masy ciała (Body Mass Index - BMI);</w:t>
            </w:r>
            <w:r>
              <w:rPr>
                <w:rFonts w:eastAsia="Times New Roman" w:cs="Calibri"/>
              </w:rPr>
              <w:br/>
              <w:t>2) układu ruchu, w tym bocznego skrzywienia kręgosłupa;</w:t>
            </w:r>
            <w:r>
              <w:rPr>
                <w:rFonts w:eastAsia="Times New Roman" w:cs="Calibri"/>
              </w:rPr>
              <w:br/>
              <w:t>3) ostrości wzroku;</w:t>
            </w:r>
            <w:r>
              <w:rPr>
                <w:rFonts w:eastAsia="Times New Roman" w:cs="Calibri"/>
              </w:rPr>
              <w:br/>
              <w:t>4) widzenia barw;</w:t>
            </w:r>
            <w:r>
              <w:rPr>
                <w:rFonts w:eastAsia="Times New Roman" w:cs="Calibri"/>
              </w:rPr>
              <w:br/>
              <w:t>5) ciśnienia tętniczego krwi.</w:t>
            </w:r>
          </w:p>
        </w:tc>
      </w:tr>
      <w:tr w:rsidR="00E27C22">
        <w:tc>
          <w:tcPr>
            <w:tcW w:w="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36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Klasa I gimnazjum**</w:t>
            </w:r>
          </w:p>
        </w:tc>
        <w:tc>
          <w:tcPr>
            <w:tcW w:w="52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27C22" w:rsidRDefault="00E27C22">
            <w:pPr>
              <w:spacing w:after="0" w:line="240" w:lineRule="auto"/>
            </w:pPr>
            <w:r>
              <w:rPr>
                <w:rFonts w:eastAsia="Times New Roman" w:cs="Calibri"/>
              </w:rPr>
              <w:t>Test do wykrywania zaburzeń:</w:t>
            </w:r>
            <w:r>
              <w:rPr>
                <w:rFonts w:eastAsia="Times New Roman" w:cs="Calibri"/>
              </w:rPr>
              <w:br/>
              <w:t>1) rozwoju fizycznego - pomiary: wysokości i masy ciała, w tym określenie współczynnika masy ciała (Body Mass Index - BMI);</w:t>
            </w:r>
            <w:r>
              <w:rPr>
                <w:rFonts w:eastAsia="Times New Roman" w:cs="Calibri"/>
              </w:rPr>
              <w:br/>
              <w:t>2) układu ruchu, w tym bocznego skrzywienia kręgosłupa i nadmiernej kifozy piersiowej;</w:t>
            </w:r>
            <w:r>
              <w:rPr>
                <w:rFonts w:eastAsia="Times New Roman" w:cs="Calibri"/>
              </w:rPr>
              <w:br/>
              <w:t>3) ostrości wzroku;</w:t>
            </w:r>
            <w:r>
              <w:rPr>
                <w:rFonts w:eastAsia="Times New Roman" w:cs="Calibri"/>
              </w:rPr>
              <w:br/>
              <w:t>4) słuchu (badanie orientacyjne szeptem);</w:t>
            </w:r>
            <w:r>
              <w:rPr>
                <w:rFonts w:eastAsia="Times New Roman" w:cs="Calibri"/>
              </w:rPr>
              <w:br/>
              <w:t>5) ciśnienia tętniczego krwi.</w:t>
            </w:r>
          </w:p>
        </w:tc>
      </w:tr>
      <w:tr w:rsidR="00E27C22">
        <w:tc>
          <w:tcPr>
            <w:tcW w:w="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36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Klasa I szkoły ponadgimnazjalnej**</w:t>
            </w:r>
          </w:p>
        </w:tc>
        <w:tc>
          <w:tcPr>
            <w:tcW w:w="52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27C22" w:rsidRDefault="00E27C22">
            <w:pPr>
              <w:spacing w:after="0" w:line="240" w:lineRule="auto"/>
            </w:pPr>
            <w:r>
              <w:rPr>
                <w:rFonts w:eastAsia="Times New Roman" w:cs="Calibri"/>
              </w:rPr>
              <w:t>Test do wykrywania zaburzeń:</w:t>
            </w:r>
            <w:r>
              <w:rPr>
                <w:rFonts w:eastAsia="Times New Roman" w:cs="Calibri"/>
              </w:rPr>
              <w:br/>
              <w:t>1) rozwoju fizycznego - pomiary: wysokości i masy ciała, w tym określenie współczynnika masy ciała (Body Mass Index - BMI);</w:t>
            </w:r>
            <w:r>
              <w:rPr>
                <w:rFonts w:eastAsia="Times New Roman" w:cs="Calibri"/>
              </w:rPr>
              <w:br/>
              <w:t>2) układu ruchu, w tym bocznego skrzywienia kręgosłupa i nadmiernej kifozy piersiowej;</w:t>
            </w:r>
            <w:r>
              <w:rPr>
                <w:rFonts w:eastAsia="Times New Roman" w:cs="Calibri"/>
              </w:rPr>
              <w:br/>
              <w:t>3) ostrości wzroku;</w:t>
            </w:r>
            <w:r>
              <w:rPr>
                <w:rFonts w:eastAsia="Times New Roman" w:cs="Calibri"/>
              </w:rPr>
              <w:br/>
              <w:t>4) ciśnienia tętniczego krwi.</w:t>
            </w:r>
          </w:p>
        </w:tc>
      </w:tr>
      <w:tr w:rsidR="00E27C22">
        <w:tc>
          <w:tcPr>
            <w:tcW w:w="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36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27C22" w:rsidRDefault="00E27C2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Ostatnia klasa szkoły ponadgimnazjalnej do ukończenia 19 roku życia</w:t>
            </w:r>
          </w:p>
        </w:tc>
        <w:tc>
          <w:tcPr>
            <w:tcW w:w="52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27C22" w:rsidRDefault="00E27C22">
            <w:pPr>
              <w:spacing w:after="0" w:line="240" w:lineRule="auto"/>
            </w:pPr>
            <w:r>
              <w:rPr>
                <w:rFonts w:eastAsia="Times New Roman" w:cs="Calibri"/>
              </w:rPr>
              <w:t>Test do wykrywania zaburzeń:</w:t>
            </w:r>
            <w:r>
              <w:rPr>
                <w:rFonts w:eastAsia="Times New Roman" w:cs="Calibri"/>
              </w:rPr>
              <w:br/>
              <w:t>1) rozwoju fizycznego - pomiary: wysokości i masy ciała, w tym określenie współczynnika masy ciała (Body Mass Index - BMI);</w:t>
            </w:r>
            <w:r>
              <w:rPr>
                <w:rFonts w:eastAsia="Times New Roman" w:cs="Calibri"/>
              </w:rPr>
              <w:br/>
              <w:t>2) ostrości wzroku;</w:t>
            </w:r>
            <w:r>
              <w:rPr>
                <w:rFonts w:eastAsia="Times New Roman" w:cs="Calibri"/>
              </w:rPr>
              <w:br/>
              <w:t>3) ciśnienia tętniczego krwi.</w:t>
            </w:r>
          </w:p>
        </w:tc>
      </w:tr>
    </w:tbl>
    <w:p w:rsidR="00E27C22" w:rsidRDefault="00E27C22">
      <w:pPr>
        <w:spacing w:before="280" w:after="280" w:line="240" w:lineRule="auto"/>
        <w:rPr>
          <w:rFonts w:eastAsia="Times New Roman" w:cs="Calibri"/>
        </w:rPr>
      </w:pPr>
      <w:r>
        <w:rPr>
          <w:rFonts w:eastAsia="Times New Roman" w:cs="Calibri"/>
        </w:rPr>
        <w:t>* W przypadku niewykonania badania w terminie testy przesiewowe wykonuje się w klasie I szkoły podstawowej.</w:t>
      </w:r>
    </w:p>
    <w:p w:rsidR="00E27C22" w:rsidRDefault="00E27C22">
      <w:pPr>
        <w:spacing w:before="280" w:after="280" w:line="240" w:lineRule="auto"/>
      </w:pPr>
      <w:r>
        <w:rPr>
          <w:rFonts w:eastAsia="Times New Roman" w:cs="Calibri"/>
        </w:rPr>
        <w:t>** W przypadku braku promocji do następnej klasy nie wykonuje się powtórnie testów przesiewowych.</w:t>
      </w:r>
    </w:p>
    <w:sectPr w:rsidR="00E27C22">
      <w:pgSz w:w="11906" w:h="16838"/>
      <w:pgMar w:top="993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Segoe UI Symbol" w:eastAsia="Helvetica Neue" w:hAnsi="Segoe UI Symbol" w:cs="Segoe UI Symbo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C9C"/>
    <w:rsid w:val="003D4C9C"/>
    <w:rsid w:val="00AE3C18"/>
    <w:rsid w:val="00E2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aps w:val="0"/>
      <w:smallCaps w:val="0"/>
      <w:strike w:val="0"/>
      <w:dstrike w:val="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egoe UI Symbol" w:eastAsia="Helvetica Neue" w:hAnsi="Segoe UI Symbol" w:cs="Segoe UI Symbol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otnote">
    <w:name w:val="footnote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bftyt">
    <w:name w:val="nobfty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inner">
    <w:name w:val="parinner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pub">
    <w:name w:val="mainpub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jyha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Links>
    <vt:vector size="6" baseType="variant"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https://sip.legalis.pl/document-view.seam?documentId=mfrxilrtg4ytgnjyha4ti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adm11</cp:lastModifiedBy>
  <cp:revision>2</cp:revision>
  <cp:lastPrinted>2019-10-17T08:03:00Z</cp:lastPrinted>
  <dcterms:created xsi:type="dcterms:W3CDTF">2019-11-05T22:57:00Z</dcterms:created>
  <dcterms:modified xsi:type="dcterms:W3CDTF">2019-11-05T22:57:00Z</dcterms:modified>
</cp:coreProperties>
</file>